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CB63">
      <w:pPr>
        <w:pStyle w:val="2"/>
        <w:shd w:val="clear" w:color="auto" w:fill="FFFFFF"/>
        <w:spacing w:before="0" w:beforeLines="0" w:beforeAutospacing="0" w:after="0" w:afterLines="0" w:afterAutospacing="0" w:line="576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333333"/>
          <w:sz w:val="44"/>
          <w:szCs w:val="24"/>
          <w:shd w:val="clear" w:color="auto" w:fill="FFFFFF"/>
        </w:rPr>
        <w:t>双湖县公安局2024年法治政府建设</w:t>
      </w:r>
    </w:p>
    <w:p w14:paraId="1DE750FF">
      <w:pPr>
        <w:pStyle w:val="2"/>
        <w:shd w:val="clear" w:color="auto" w:fill="FFFFFF"/>
        <w:spacing w:before="0" w:beforeLines="0" w:beforeAutospacing="0" w:after="0" w:afterLines="0" w:afterAutospacing="0" w:line="576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color w:val="333333"/>
          <w:sz w:val="44"/>
          <w:szCs w:val="24"/>
          <w:shd w:val="clear" w:color="auto" w:fill="FFFFFF"/>
        </w:rPr>
        <w:t>年度情况报告</w:t>
      </w:r>
    </w:p>
    <w:p w14:paraId="7E11921B">
      <w:pPr>
        <w:pStyle w:val="2"/>
        <w:shd w:val="clear" w:color="auto" w:fill="FFFFFF"/>
        <w:spacing w:before="0" w:beforeLines="0" w:beforeAutospacing="0" w:after="0" w:afterLines="0" w:afterAutospacing="0" w:line="576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24"/>
          <w:shd w:val="clear" w:color="auto" w:fill="FFFFFF"/>
        </w:rPr>
      </w:pPr>
    </w:p>
    <w:p w14:paraId="7901CDB1">
      <w:pPr>
        <w:shd w:val="clear" w:color="auto" w:fill="FFFFFF"/>
        <w:spacing w:beforeLines="0" w:afterLines="0" w:line="576" w:lineRule="exact"/>
        <w:ind w:firstLine="640" w:firstLineChars="200"/>
        <w:jc w:val="left"/>
        <w:rPr>
          <w:rFonts w:hint="eastAsia" w:ascii="方正仿宋简体" w:hAnsi="方正仿宋简体" w:eastAsia="方正仿宋简体"/>
          <w:color w:val="333333"/>
          <w:kern w:val="0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/>
          <w:color w:val="333333"/>
          <w:kern w:val="0"/>
          <w:sz w:val="32"/>
          <w:szCs w:val="24"/>
          <w:shd w:val="clear" w:color="auto" w:fill="FFFFFF"/>
          <w:lang w:val="en-US" w:eastAsia="zh-CN"/>
        </w:rPr>
        <w:t>2024年，双湖县公安局坚持以习近平新时代中国特色社会主义思想为指导，全面贯彻党的二十大和二十届三中全会精神，深入学习贯彻习近平法治思想，认真落实党中央、国务院、自治区、那曲市、双湖县关于法治政府建设的总体部署，以建设法治双湖为目标，扎实推进法治政府建设各项工作，取得了积极成效。现将有关情况报告如下：</w:t>
      </w:r>
    </w:p>
    <w:p w14:paraId="70CA1EDF">
      <w:pPr>
        <w:shd w:val="clear" w:color="auto" w:fill="FFFFFF"/>
        <w:spacing w:beforeLines="0" w:afterLines="0" w:line="576" w:lineRule="exact"/>
        <w:ind w:firstLine="640" w:firstLineChars="200"/>
        <w:jc w:val="left"/>
        <w:rPr>
          <w:rFonts w:hint="eastAsia" w:ascii="方正黑体_GBK" w:hAnsi="方正黑体_GBK" w:eastAsia="方正黑体_GBK"/>
          <w:color w:val="333333"/>
          <w:kern w:val="0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/>
          <w:color w:val="333333"/>
          <w:kern w:val="0"/>
          <w:sz w:val="32"/>
          <w:szCs w:val="24"/>
          <w:shd w:val="clear" w:color="auto" w:fill="FFFFFF"/>
          <w:lang w:val="en-US" w:eastAsia="zh-CN"/>
        </w:rPr>
        <w:t>一、2024年法治政府建设主要举措和成效</w:t>
      </w:r>
    </w:p>
    <w:p w14:paraId="7DF11AA6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</w:rPr>
        <w:t>主要举措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：</w:t>
      </w:r>
      <w:r>
        <w:rPr>
          <w:rFonts w:hint="eastAsia" w:ascii="方正仿宋简体" w:hAnsi="方正仿宋简体" w:eastAsia="方正仿宋简体"/>
          <w:sz w:val="32"/>
          <w:szCs w:val="24"/>
        </w:rPr>
        <w:t>加强法治学习与宣传：将习近平法治思想纳入部门学习体系，通过党组中心组理论学习、专家辅导、专题培训班等形式，强化对领导干部和工作人员的法治教育。同时，利用“国家安全教育日”“宪法宣传周”等重要时间节点，开展多种形式的法治宣传活动，提高全民法治意识。</w:t>
      </w:r>
    </w:p>
    <w:p w14:paraId="5BD5F6F9">
      <w:pPr>
        <w:spacing w:beforeLines="0" w:afterLines="0" w:line="576" w:lineRule="exact"/>
        <w:ind w:firstLine="320" w:firstLineChars="1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/>
          <w:sz w:val="32"/>
          <w:szCs w:val="24"/>
        </w:rPr>
        <w:t>严格规范性文件管理，落实合法性审核制度和公平竞争审查制度，确保规范性文件合法合规。</w:t>
      </w:r>
    </w:p>
    <w:p w14:paraId="4E029703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推进“放管服”改革：持续规范公正文明执法，优化政务服务流程，缩减行政许可事项办理时限</w:t>
      </w:r>
      <w:r>
        <w:rPr>
          <w:rFonts w:hint="eastAsia" w:ascii="方正仿宋简体" w:hAnsi="方正仿宋简体" w:eastAsia="方正仿宋简体"/>
          <w:sz w:val="32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/>
          <w:sz w:val="32"/>
          <w:szCs w:val="24"/>
        </w:rPr>
        <w:t>加大政务公开力度，建立公开统一的政务管理信息系统，实现“数据多跑路，群众少跑腿”。</w:t>
      </w:r>
    </w:p>
    <w:p w14:paraId="248FF7C1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  <w:highlight w:val="yellow"/>
          <w:lang w:eastAsia="zh-CN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健全社会矛盾纠纷预防化解体系：深化体制机制改革，完善内部管理体系</w:t>
      </w:r>
      <w:r>
        <w:rPr>
          <w:rFonts w:hint="eastAsia" w:ascii="方正仿宋简体" w:hAnsi="方正仿宋简体" w:eastAsia="方正仿宋简体"/>
          <w:sz w:val="32"/>
          <w:szCs w:val="24"/>
          <w:lang w:eastAsia="zh-CN"/>
        </w:rPr>
        <w:t>。</w:t>
      </w:r>
    </w:p>
    <w:p w14:paraId="35CDC64B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强化行政执法监督：严格落实行政执法公示、执法全过程记录、重大执法决定法制审核制度。加强行政执法人员资格管理，组织执法人员参加培训，提高执法业务能力。此外，自觉接受人大监督、政协监督、司法监督、社会监督等，确保行政权力规范运行。</w:t>
      </w:r>
    </w:p>
    <w:p w14:paraId="579C136A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主要成效：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公安部门</w:t>
      </w:r>
      <w:r>
        <w:rPr>
          <w:rFonts w:hint="eastAsia" w:ascii="方正仿宋简体" w:hAnsi="方正仿宋简体" w:eastAsia="方正仿宋简体"/>
          <w:sz w:val="32"/>
          <w:szCs w:val="24"/>
        </w:rPr>
        <w:t>依法行政能力显著提升：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公安工作</w:t>
      </w:r>
      <w:r>
        <w:rPr>
          <w:rFonts w:hint="eastAsia" w:ascii="方正仿宋简体" w:hAnsi="方正仿宋简体" w:eastAsia="方正仿宋简体"/>
          <w:sz w:val="32"/>
          <w:szCs w:val="24"/>
        </w:rPr>
        <w:t>人员法治思维和依法行政能力不断增强，能够运用法治方式解决问题、推动工作。在决策过程中，更加注重合法性审查和公众参与，决策的科学性、民主性和合法性得到有效保障。</w:t>
      </w:r>
    </w:p>
    <w:p w14:paraId="6D86AA9B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营商环境持续优化：通过“放管服”改革，行政审批流程简化，办事效率提高，市场主体的制度性交易成本降低，激发了市场活力和社会创造力，为经济高质量发展提供了良好的法治环境。</w:t>
      </w:r>
    </w:p>
    <w:p w14:paraId="12C4F754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社会矛盾纠纷得到有效化解：多元化纠纷解决机制不断完善，群众的合法权益得到更好保障，社会和谐稳定得到维护。</w:t>
      </w:r>
    </w:p>
    <w:p w14:paraId="63B07822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法治意识深入人心：通过广泛的法治宣传教育活动，全社会法治意识明显提高，公民依法维权的意识和能力不断增强，形成了尊法学法守法用法的良好氛围。</w:t>
      </w:r>
    </w:p>
    <w:p w14:paraId="275534A2">
      <w:pPr>
        <w:spacing w:beforeLines="0" w:afterLines="0" w:line="576" w:lineRule="exact"/>
        <w:ind w:firstLine="640" w:firstLineChars="200"/>
        <w:jc w:val="left"/>
        <w:rPr>
          <w:rFonts w:hint="eastAsia" w:ascii="黑体" w:hAnsi="黑体" w:eastAsia="黑体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二、2024年主要负责同志履行推进法治政府检测第一责任人职责情况</w:t>
      </w:r>
    </w:p>
    <w:p w14:paraId="0593C653">
      <w:pPr>
        <w:numPr>
          <w:ilvl w:val="0"/>
          <w:numId w:val="0"/>
        </w:numPr>
        <w:spacing w:beforeLines="0" w:afterLines="0" w:line="576" w:lineRule="exact"/>
        <w:ind w:firstLine="320" w:firstLineChars="1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一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加强组织领导，落实法治建设责任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，</w:t>
      </w:r>
      <w:r>
        <w:rPr>
          <w:rFonts w:hint="eastAsia" w:ascii="方正楷体_GBK" w:hAnsi="方正楷体_GBK" w:eastAsia="方正楷体_GBK"/>
          <w:sz w:val="32"/>
          <w:szCs w:val="24"/>
        </w:rPr>
        <w:t>健全工作机制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成立了以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边巴罗布同志</w:t>
      </w:r>
      <w:r>
        <w:rPr>
          <w:rFonts w:hint="eastAsia" w:ascii="方正仿宋简体" w:hAnsi="方正仿宋简体" w:eastAsia="方正仿宋简体"/>
          <w:sz w:val="32"/>
          <w:szCs w:val="24"/>
        </w:rPr>
        <w:t>为组长的法治建设工作领导小组，明确小组成员职责分工，构建起主要领导亲自抓、分管领导具体抓、各部门协同抓的工作格局。定期召开法治建设专题会议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2</w:t>
      </w:r>
      <w:r>
        <w:rPr>
          <w:rFonts w:hint="eastAsia" w:ascii="方正仿宋简体" w:hAnsi="方正仿宋简体" w:eastAsia="方正仿宋简体"/>
          <w:sz w:val="32"/>
          <w:szCs w:val="24"/>
        </w:rPr>
        <w:t>次，研究解决法治建设中的重大问题，部署阶段性工作任务，确保法治建设工作有序推进。</w:t>
      </w:r>
    </w:p>
    <w:p w14:paraId="2C88C101">
      <w:pPr>
        <w:numPr>
          <w:ilvl w:val="0"/>
          <w:numId w:val="0"/>
        </w:numPr>
        <w:spacing w:beforeLines="0" w:afterLines="0" w:line="576" w:lineRule="exact"/>
        <w:ind w:firstLine="320" w:firstLineChars="1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二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强化法治思维，提升依法行政能力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，</w:t>
      </w:r>
      <w:r>
        <w:rPr>
          <w:rFonts w:hint="eastAsia" w:ascii="方正楷体_GBK" w:hAnsi="方正楷体_GBK" w:eastAsia="方正楷体_GBK"/>
          <w:sz w:val="32"/>
          <w:szCs w:val="24"/>
        </w:rPr>
        <w:t> 带头学法用法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深入学习习近平法治思想，贯彻落实习近平总书记关于法治建设的重要指示精神，通过参加党组理论学习中心组学习、专题培训、法律知识讲座等形式，系统学习宪法、民法典等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法律法规</w:t>
      </w:r>
      <w:r>
        <w:rPr>
          <w:rFonts w:hint="eastAsia" w:ascii="方正仿宋简体" w:hAnsi="方正仿宋简体" w:eastAsia="方正仿宋简体"/>
          <w:sz w:val="32"/>
          <w:szCs w:val="24"/>
        </w:rPr>
        <w:t>，不断提高自身法治素养和依法决策、依法行政能力。同时，积极参加领导干部年度述法，自觉接受组织和群众监督。 推动全员学法：制定年度学法计划，组织干部职工开展常态化法律知识学习培训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10余</w:t>
      </w:r>
      <w:r>
        <w:rPr>
          <w:rFonts w:hint="eastAsia" w:ascii="方正仿宋简体" w:hAnsi="方正仿宋简体" w:eastAsia="方正仿宋简体"/>
          <w:sz w:val="32"/>
          <w:szCs w:val="24"/>
        </w:rPr>
        <w:t>次，涵盖行政执法、行政复议、信息公开等内容，并通过线上答题、法律知识竞赛等方式，激发干部职工学法积极性，增强法治意识和依法办事能力。</w:t>
      </w:r>
    </w:p>
    <w:p w14:paraId="7DAC98EC">
      <w:pPr>
        <w:numPr>
          <w:ilvl w:val="0"/>
          <w:numId w:val="0"/>
        </w:numPr>
        <w:spacing w:beforeLines="0" w:afterLines="0" w:line="576" w:lineRule="exact"/>
        <w:ind w:firstLine="320" w:firstLineChars="100"/>
        <w:rPr>
          <w:rFonts w:hint="eastAsia" w:ascii="方正楷体_GBK" w:hAnsi="方正楷体_GBK" w:eastAsia="方正楷体_GBK"/>
          <w:sz w:val="32"/>
          <w:szCs w:val="24"/>
          <w:lang w:eastAsia="zh-CN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三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规范行政执法，提高执法效能和水平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</w:p>
    <w:p w14:paraId="7658E827">
      <w:pPr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sz w:val="32"/>
          <w:szCs w:val="24"/>
          <w:lang w:val="en-US" w:eastAsia="zh-CN"/>
        </w:rPr>
        <w:t>1.</w:t>
      </w:r>
      <w:r>
        <w:rPr>
          <w:rFonts w:hint="eastAsia" w:ascii="方正仿宋简体" w:hAnsi="方正仿宋简体" w:eastAsia="方正仿宋简体"/>
          <w:b/>
          <w:sz w:val="32"/>
          <w:szCs w:val="24"/>
        </w:rPr>
        <w:t> 加强执法队伍建设</w:t>
      </w:r>
      <w:r>
        <w:rPr>
          <w:rFonts w:hint="eastAsia" w:ascii="方正楷体_GBK" w:hAnsi="方正楷体_GBK" w:eastAsia="方正楷体_GBK"/>
          <w:sz w:val="32"/>
          <w:szCs w:val="24"/>
        </w:rPr>
        <w:t>：</w:t>
      </w:r>
      <w:r>
        <w:rPr>
          <w:rFonts w:hint="eastAsia" w:ascii="方正仿宋简体" w:hAnsi="方正仿宋简体" w:eastAsia="方正仿宋简体"/>
          <w:sz w:val="32"/>
          <w:szCs w:val="24"/>
        </w:rPr>
        <w:t>严格落实行政执法人员持证上岗和资格管理制度，组织执法人员参加业务培训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/>
          <w:sz w:val="32"/>
          <w:szCs w:val="24"/>
        </w:rPr>
        <w:t>次，培训内容包括执法程序、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法律</w:t>
      </w:r>
      <w:r>
        <w:rPr>
          <w:rFonts w:hint="eastAsia" w:ascii="方正仿宋简体" w:hAnsi="方正仿宋简体" w:eastAsia="方正仿宋简体"/>
          <w:sz w:val="32"/>
          <w:szCs w:val="24"/>
        </w:rPr>
        <w:t>文书制作、法律法规适用等，不断提高执法人员业务能力和综合素质。</w:t>
      </w:r>
    </w:p>
    <w:p w14:paraId="6E6F3FDC">
      <w:pPr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sz w:val="32"/>
          <w:szCs w:val="24"/>
          <w:lang w:val="en-US" w:eastAsia="zh-CN"/>
        </w:rPr>
        <w:t>2.</w:t>
      </w:r>
      <w:r>
        <w:rPr>
          <w:rFonts w:hint="eastAsia" w:ascii="方正仿宋简体" w:hAnsi="方正仿宋简体" w:eastAsia="方正仿宋简体"/>
          <w:b/>
          <w:sz w:val="32"/>
          <w:szCs w:val="24"/>
        </w:rPr>
        <w:t> 强化执法监督：</w:t>
      </w:r>
      <w:r>
        <w:rPr>
          <w:rFonts w:hint="eastAsia" w:ascii="方正仿宋简体" w:hAnsi="方正仿宋简体" w:eastAsia="方正仿宋简体"/>
          <w:sz w:val="32"/>
          <w:szCs w:val="24"/>
        </w:rPr>
        <w:t>建立健全行政执法监督机制，定期开展案卷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回头看活动，开展</w:t>
      </w:r>
      <w:r>
        <w:rPr>
          <w:rFonts w:hint="eastAsia" w:ascii="方正仿宋简体" w:hAnsi="方正仿宋简体" w:eastAsia="方正仿宋简体"/>
          <w:sz w:val="32"/>
          <w:szCs w:val="24"/>
        </w:rPr>
        <w:t>评查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每月一</w:t>
      </w:r>
      <w:r>
        <w:rPr>
          <w:rFonts w:hint="eastAsia" w:ascii="方正仿宋简体" w:hAnsi="方正仿宋简体" w:eastAsia="方正仿宋简体"/>
          <w:sz w:val="32"/>
          <w:szCs w:val="24"/>
        </w:rPr>
        <w:t>次，对发现的问题及时督促整改，有效规范执法行为，提高执法质量。加强对行政执法活动的日常监督检查，严肃查处执法不作为、乱作为等行为，切实维护群众合法权益。</w:t>
      </w:r>
    </w:p>
    <w:p w14:paraId="7E3299A2">
      <w:pPr>
        <w:spacing w:beforeLines="0" w:afterLines="0" w:line="576" w:lineRule="exact"/>
        <w:ind w:firstLine="640" w:firstLineChars="200"/>
        <w:rPr>
          <w:rFonts w:hint="eastAsia" w:ascii="方正楷体_GBK" w:hAnsi="方正楷体_GBK" w:eastAsia="方正楷体_GBK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四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加强法治宣传教育，营造良好法治氛围</w:t>
      </w:r>
    </w:p>
    <w:p w14:paraId="417099DF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sz w:val="32"/>
          <w:szCs w:val="24"/>
          <w:lang w:val="en-US" w:eastAsia="zh-CN"/>
        </w:rPr>
        <w:t>1.</w:t>
      </w:r>
      <w:r>
        <w:rPr>
          <w:rFonts w:hint="eastAsia" w:ascii="方正仿宋简体" w:hAnsi="方正仿宋简体" w:eastAsia="方正仿宋简体"/>
          <w:b/>
          <w:sz w:val="32"/>
          <w:szCs w:val="24"/>
        </w:rPr>
        <w:t> 落实普法责任制</w:t>
      </w:r>
      <w:r>
        <w:rPr>
          <w:rFonts w:hint="eastAsia" w:ascii="方正仿宋简体" w:hAnsi="方正仿宋简体" w:eastAsia="方正仿宋简体"/>
          <w:b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制定“谁执法谁普法”责任清单，明确普法任务和责任部门，将普法工作贯穿于行政执法全过程。结合“宪法宣传周”“民法典宣传月”等重要时间节点，组织开展形式多样的法治宣传活动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40余次</w:t>
      </w:r>
      <w:r>
        <w:rPr>
          <w:rFonts w:hint="eastAsia" w:ascii="方正仿宋简体" w:hAnsi="方正仿宋简体" w:eastAsia="方正仿宋简体"/>
          <w:sz w:val="32"/>
          <w:szCs w:val="24"/>
        </w:rPr>
        <w:t>，通过设立咨询台、发放宣传资料、举办法律讲座等方式，向社会公众广泛宣传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各类法律法规</w:t>
      </w:r>
      <w:r>
        <w:rPr>
          <w:rFonts w:hint="eastAsia" w:ascii="方正仿宋简体" w:hAnsi="方正仿宋简体" w:eastAsia="方正仿宋简体"/>
          <w:sz w:val="32"/>
          <w:szCs w:val="24"/>
        </w:rPr>
        <w:t>，累计发放宣传资料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5000</w:t>
      </w:r>
      <w:r>
        <w:rPr>
          <w:rFonts w:hint="eastAsia" w:ascii="方正仿宋简体" w:hAnsi="方正仿宋简体" w:eastAsia="方正仿宋简体"/>
          <w:sz w:val="32"/>
          <w:szCs w:val="24"/>
        </w:rPr>
        <w:t>份，解答群众咨询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3000</w:t>
      </w:r>
      <w:r>
        <w:rPr>
          <w:rFonts w:hint="eastAsia" w:ascii="方正仿宋简体" w:hAnsi="方正仿宋简体" w:eastAsia="方正仿宋简体"/>
          <w:sz w:val="32"/>
          <w:szCs w:val="24"/>
        </w:rPr>
        <w:t>人次，营造了浓厚的法治氛围。</w:t>
      </w:r>
    </w:p>
    <w:p w14:paraId="7AF0AD0C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  <w:highlight w:val="yellow"/>
        </w:rPr>
      </w:pPr>
      <w:r>
        <w:rPr>
          <w:rFonts w:hint="eastAsia" w:ascii="方正仿宋简体" w:hAnsi="方正仿宋简体" w:eastAsia="方正仿宋简体"/>
          <w:b/>
          <w:sz w:val="32"/>
          <w:szCs w:val="24"/>
        </w:rPr>
        <w:t>2. 创新普法方式</w:t>
      </w:r>
      <w:r>
        <w:rPr>
          <w:rFonts w:hint="eastAsia" w:ascii="方正仿宋简体" w:hAnsi="方正仿宋简体" w:eastAsia="方正仿宋简体"/>
          <w:b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充分利用新媒体平台开展普法宣传，通过微信公众号、等发布普法信息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>100余</w:t>
      </w:r>
      <w:r>
        <w:rPr>
          <w:rFonts w:hint="eastAsia" w:ascii="方正仿宋简体" w:hAnsi="方正仿宋简体" w:eastAsia="方正仿宋简体"/>
          <w:sz w:val="32"/>
          <w:szCs w:val="24"/>
        </w:rPr>
        <w:t>条，以通俗易懂、生动形象的方式传播法律知识，提高普法宣传的覆盖面和影响力 。同时，加强以案释法工作，选取典型案例进行深入剖析，引导群众自觉守法、遇事找法、解决问题靠法。</w:t>
      </w:r>
    </w:p>
    <w:p w14:paraId="4A0087A5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  <w:highlight w:val="yellow"/>
        </w:rPr>
      </w:pPr>
      <w:r>
        <w:rPr>
          <w:rFonts w:hint="eastAsia" w:ascii="方正黑体_GBK" w:hAnsi="方正黑体_GBK" w:eastAsia="方正黑体_GBK"/>
          <w:sz w:val="32"/>
          <w:szCs w:val="24"/>
          <w:lang w:val="en-US" w:eastAsia="zh-CN"/>
        </w:rPr>
        <w:t>三、2024年法治政府建设存在的问题和不足</w:t>
      </w:r>
    </w:p>
    <w:p w14:paraId="52981E62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（一）</w:t>
      </w:r>
      <w:r>
        <w:rPr>
          <w:rFonts w:hint="eastAsia" w:ascii="方正楷体_GBK" w:hAnsi="方正楷体_GBK" w:eastAsia="方正楷体_GBK"/>
          <w:sz w:val="32"/>
          <w:szCs w:val="24"/>
        </w:rPr>
        <w:t>行政决策方面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程序落实不到位：重大行政决策程序中应有的合法性审查、专家论证、公众参与等，在实施中比较随意，尚未实现全覆盖，对决策刚性约束不足。有些重大行政决策的合法性审查只是走走形式，专家论证缺乏制度保障专家的独立性。</w:t>
      </w:r>
    </w:p>
    <w:p w14:paraId="71C6AF4C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（二）</w:t>
      </w:r>
      <w:r>
        <w:rPr>
          <w:rFonts w:hint="eastAsia" w:ascii="方正楷体_GBK" w:hAnsi="方正楷体_GBK" w:eastAsia="方正楷体_GBK"/>
          <w:sz w:val="32"/>
          <w:szCs w:val="24"/>
        </w:rPr>
        <w:t>行政执法方面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执法力量薄弱</w:t>
      </w:r>
      <w:r>
        <w:rPr>
          <w:rFonts w:hint="eastAsia" w:ascii="方正仿宋简体" w:hAnsi="方正仿宋简体" w:eastAsia="方正仿宋简体"/>
          <w:sz w:val="32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/>
          <w:sz w:val="32"/>
          <w:szCs w:val="24"/>
        </w:rPr>
        <w:t>基层执法人员数量较少，专业能力有待提升，难以满足日益繁重的监管任务。执法装备配备也有待强化</w:t>
      </w:r>
      <w:r>
        <w:rPr>
          <w:rFonts w:hint="eastAsia" w:ascii="方正仿宋简体" w:hAnsi="方正仿宋简体" w:eastAsia="方正仿宋简体"/>
          <w:sz w:val="32"/>
          <w:szCs w:val="24"/>
          <w:lang w:eastAsia="zh-CN"/>
        </w:rPr>
        <w:t>；</w:t>
      </w:r>
      <w:r>
        <w:rPr>
          <w:rFonts w:hint="eastAsia" w:ascii="方正仿宋简体" w:hAnsi="方正仿宋简体" w:eastAsia="方正仿宋简体"/>
          <w:sz w:val="32"/>
          <w:szCs w:val="24"/>
        </w:rPr>
        <w:t>执法水平不高</w:t>
      </w:r>
      <w:r>
        <w:rPr>
          <w:rFonts w:hint="eastAsia" w:ascii="方正仿宋简体" w:hAnsi="方正仿宋简体" w:eastAsia="方正仿宋简体"/>
          <w:sz w:val="32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/>
          <w:sz w:val="32"/>
          <w:szCs w:val="24"/>
        </w:rPr>
        <w:t>执法人员法治能力及执法素质有待提高，个别行政检查、行政处罚卷宗仍有瑕疵。行政执法突出问题整治有待深入，涉企检查需进一步规范，行政执法协调监督工作体系建设还需加强。</w:t>
      </w:r>
    </w:p>
    <w:p w14:paraId="344D1FC5">
      <w:pPr>
        <w:spacing w:beforeLines="0" w:afterLines="0" w:line="576" w:lineRule="exact"/>
        <w:ind w:firstLine="640" w:firstLineChars="200"/>
        <w:jc w:val="left"/>
        <w:rPr>
          <w:rFonts w:hint="eastAsia" w:ascii="方正黑体_GBK" w:hAnsi="方正黑体_GBK" w:eastAsia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24"/>
          <w:lang w:val="en-US" w:eastAsia="zh-CN"/>
        </w:rPr>
        <w:t>四、2025年法治政府建设工作初步安排</w:t>
      </w:r>
    </w:p>
    <w:p w14:paraId="7C54DBBE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sz w:val="32"/>
          <w:szCs w:val="24"/>
        </w:rPr>
        <w:t>2025年是全面落实《法治政府建设实施纲要（2021 - 2025年）》目标任务的关键一年 ，为深入推进法治政府建设，现对本年度法治政府建设工作做出如下初步安排：</w:t>
      </w:r>
    </w:p>
    <w:p w14:paraId="2660E79E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一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强化法治思维与统筹协调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持续推动领导干部深入学习习近平法治思想，通过专题培训、学习研讨等方式，提高领导干部运用法治思维和法治方式深化改革、推动发展、化解矛盾、维护稳定的能力。建立健全领导干部学法用法考核机制，将学法用法情况纳入年度考核重要内容。对《法治政府建设实施纲要（2021 - 2025年）》落实情况进行全面中期评估，总结经验、查找问题、提出改进措施。完善法治政府建设协调推进机制，加强各部门之间的沟通协作，形成工作合力。强化法治政府建设示范创建活动，树立先进典型，发挥示范引领作用，带动整体法治政府建设水平提升。</w:t>
      </w:r>
    </w:p>
    <w:p w14:paraId="75549357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仿宋简体" w:hAnsi="方正仿宋简体" w:eastAsia="方正仿宋简体"/>
          <w:b/>
          <w:sz w:val="32"/>
          <w:szCs w:val="24"/>
          <w:lang w:eastAsia="zh-CN"/>
        </w:rPr>
        <w:t>（</w:t>
      </w:r>
      <w:r>
        <w:rPr>
          <w:rFonts w:hint="eastAsia" w:ascii="方正仿宋简体" w:hAnsi="方正仿宋简体" w:eastAsia="方正仿宋简体"/>
          <w:b/>
          <w:sz w:val="32"/>
          <w:szCs w:val="24"/>
          <w:lang w:val="en-US" w:eastAsia="zh-CN"/>
        </w:rPr>
        <w:t>二</w:t>
      </w:r>
      <w:r>
        <w:rPr>
          <w:rFonts w:hint="eastAsia" w:ascii="方正仿宋简体" w:hAnsi="方正仿宋简体" w:eastAsia="方正仿宋简体"/>
          <w:b/>
          <w:sz w:val="32"/>
          <w:szCs w:val="24"/>
          <w:lang w:eastAsia="zh-CN"/>
        </w:rPr>
        <w:t>）</w:t>
      </w:r>
      <w:r>
        <w:rPr>
          <w:rFonts w:hint="eastAsia" w:ascii="方正仿宋简体" w:hAnsi="方正仿宋简体" w:eastAsia="方正仿宋简体"/>
          <w:b/>
          <w:sz w:val="32"/>
          <w:szCs w:val="24"/>
        </w:rPr>
        <w:t>推进科学民主依法决策</w:t>
      </w:r>
      <w:r>
        <w:rPr>
          <w:rFonts w:hint="eastAsia" w:ascii="方正仿宋简体" w:hAnsi="方正仿宋简体" w:eastAsia="方正仿宋简体"/>
          <w:b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严格执行重大行政决策程序制度，确保决策事项经过公众参与、专家论证、风险评估、合法性审查和集体讨论决定等法定程序。建立重大行政决策目录管理制度，明确决策事项范围、程序和时限，并向社会公布。加强决策执行跟踪反馈和评估，及时调整和完善决策内容，提高决策的科学性和实效性。</w:t>
      </w:r>
    </w:p>
    <w:p w14:paraId="049BBBC5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三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深化行政执法体制改革</w:t>
      </w:r>
      <w:r>
        <w:rPr>
          <w:rFonts w:hint="eastAsia" w:ascii="方正仿宋简体" w:hAnsi="方正仿宋简体" w:eastAsia="方正仿宋简体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加强行政执法信息化建设，推进执法信息共享、执法流程网上运行、执法活动网上监督，提高执法效率和规范化水平。建立健全行政执法人员资格管理、培训考核、持证上岗等制度，加强行政执法人员职业道德建设，提高执法能力和水平。全面落实行政执法责任制，加强执法监督，严肃查处执法不作为、乱作为等行为。</w:t>
      </w:r>
    </w:p>
    <w:p w14:paraId="6785925B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四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优化法治化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训</w:t>
      </w:r>
      <w:r>
        <w:rPr>
          <w:rFonts w:hint="eastAsia" w:ascii="方正楷体_GBK" w:hAnsi="方正楷体_GBK" w:eastAsia="方正楷体_GBK"/>
          <w:sz w:val="32"/>
          <w:szCs w:val="24"/>
        </w:rPr>
        <w:t>营商环境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持续推进“放管服”改革，进一步精简行政审批事项，优化审批流程，提高审批效率。加强政务服务标准化建设，推进政务服务事项“一网通办”“最多跑一次”，提高企业和群众办事便利度。加强公平竞争审查，防止出台排除、限制竞争的政策措施，维护市场公平竞争秩序。依法保护企业合法权益，严厉打击侵犯企业知识产权、商业秘密等违法行</w:t>
      </w:r>
      <w:r>
        <w:rPr>
          <w:rFonts w:hint="eastAsia" w:ascii="方正仿宋简体" w:hAnsi="方正仿宋简体" w:eastAsia="方正仿宋简体"/>
          <w:sz w:val="32"/>
          <w:szCs w:val="24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/>
          <w:sz w:val="32"/>
          <w:szCs w:val="24"/>
        </w:rPr>
        <w:t>为，为企业发展营造良好法治环境。</w:t>
      </w:r>
    </w:p>
    <w:p w14:paraId="0E5A73BE">
      <w:pPr>
        <w:spacing w:beforeLines="0" w:afterLines="0" w:line="576" w:lineRule="exact"/>
        <w:ind w:firstLine="640" w:firstLineChars="200"/>
        <w:rPr>
          <w:rFonts w:hint="eastAsia" w:ascii="方正仿宋简体" w:hAnsi="方正仿宋简体" w:eastAsia="方正仿宋简体"/>
          <w:sz w:val="32"/>
          <w:szCs w:val="24"/>
        </w:rPr>
      </w:pP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（</w:t>
      </w:r>
      <w:r>
        <w:rPr>
          <w:rFonts w:hint="eastAsia" w:ascii="方正楷体_GBK" w:hAnsi="方正楷体_GBK" w:eastAsia="方正楷体_GBK"/>
          <w:sz w:val="32"/>
          <w:szCs w:val="24"/>
          <w:lang w:val="en-US" w:eastAsia="zh-CN"/>
        </w:rPr>
        <w:t>五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）</w:t>
      </w:r>
      <w:r>
        <w:rPr>
          <w:rFonts w:hint="eastAsia" w:ascii="方正楷体_GBK" w:hAnsi="方正楷体_GBK" w:eastAsia="方正楷体_GBK"/>
          <w:sz w:val="32"/>
          <w:szCs w:val="24"/>
        </w:rPr>
        <w:t> 化解社会矛盾纠纷</w:t>
      </w:r>
      <w:r>
        <w:rPr>
          <w:rFonts w:hint="eastAsia" w:ascii="方正楷体_GBK" w:hAnsi="方正楷体_GBK" w:eastAsia="方正楷体_GBK"/>
          <w:sz w:val="32"/>
          <w:szCs w:val="24"/>
          <w:lang w:eastAsia="zh-CN"/>
        </w:rPr>
        <w:t>。</w:t>
      </w:r>
      <w:r>
        <w:rPr>
          <w:rFonts w:hint="eastAsia" w:ascii="方正仿宋简体" w:hAnsi="方正仿宋简体" w:eastAsia="方正仿宋简体"/>
          <w:sz w:val="32"/>
          <w:szCs w:val="24"/>
        </w:rPr>
        <w:t>完善行政调解、行政裁决、仲裁、人民调解、司法调解等多元化纠纷解决机制，加强各类调解组织之间的衔接配合，形成工作合力。加强行政应诉工作，落实行政机关负责人出庭应诉制度，支持人民法院依法受理和审理行政案件，尊重并执行人民法院生效裁判。</w:t>
      </w:r>
    </w:p>
    <w:p w14:paraId="4421BAD4">
      <w:pPr>
        <w:spacing w:beforeLines="0" w:afterLines="0" w:line="576" w:lineRule="exact"/>
        <w:ind w:firstLine="640" w:firstLineChars="200"/>
        <w:jc w:val="left"/>
        <w:rPr>
          <w:rFonts w:hint="eastAsia" w:ascii="方正仿宋简体" w:hAnsi="方正仿宋简体" w:eastAsia="方正仿宋简体"/>
          <w:b/>
          <w:sz w:val="32"/>
          <w:szCs w:val="24"/>
          <w:lang w:val="en-US" w:eastAsia="zh-CN"/>
        </w:rPr>
      </w:pPr>
    </w:p>
    <w:p w14:paraId="61BAC7FC">
      <w:bookmarkStart w:id="0" w:name="_GoBack"/>
      <w:bookmarkEnd w:id="0"/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2025-06-16T04:42:04Z</dcterms:created>
  <dc:creator>米玛</dc:creator>
  <cp:lastModifiedBy>微信用户</cp:lastModifiedBy>
  <dcterms:modified xsi:type="dcterms:W3CDTF">2025-06-16T04:42:08Z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eyJoZGlkIjoiZWEwZTg0NGQ2Y2QwYjJmNTRhOGRjZGRjYTI4OWI5ZGIiLCJ1c2VySWQiOiIxMjY4NzM5MjA5In0=</vt:lpwstr>
  </property>
  <property fmtid="{D5CDD505-2E9C-101B-9397-08002B2CF9AE}" pid="4" name="ICV">
    <vt:lpwstr>8C24870570D64ED194628C2B70D240FF_12</vt:lpwstr>
  </property>
</Properties>
</file>